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88A2" w14:textId="6BD36F83" w:rsidR="00C8583C" w:rsidRDefault="00C8583C"/>
    <w:p w14:paraId="2969EB6E" w14:textId="5F7991BB" w:rsidR="00C8583C" w:rsidRDefault="00C8583C"/>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8583C" w:rsidRPr="00C8583C" w14:paraId="4BAB4FDA" w14:textId="77777777" w:rsidTr="00C8583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94"/>
              <w:gridCol w:w="6312"/>
              <w:gridCol w:w="323"/>
              <w:gridCol w:w="32"/>
              <w:gridCol w:w="323"/>
              <w:gridCol w:w="32"/>
              <w:gridCol w:w="323"/>
              <w:gridCol w:w="32"/>
              <w:gridCol w:w="323"/>
              <w:gridCol w:w="32"/>
            </w:tblGrid>
            <w:tr w:rsidR="00C8583C" w:rsidRPr="00C8583C" w14:paraId="0B4E3DAA" w14:textId="77777777">
              <w:trPr>
                <w:tblCellSpacing w:w="0" w:type="dxa"/>
              </w:trPr>
              <w:tc>
                <w:tcPr>
                  <w:tcW w:w="0" w:type="auto"/>
                  <w:vAlign w:val="center"/>
                  <w:hideMark/>
                </w:tcPr>
                <w:p w14:paraId="2BC38DAC" w14:textId="369C6133"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r w:rsidRPr="00C8583C">
                    <w:rPr>
                      <w:rFonts w:ascii="Times New Roman" w:eastAsia="Times New Roman" w:hAnsi="Times New Roman" w:cs="Times New Roman"/>
                      <w:sz w:val="24"/>
                      <w:szCs w:val="24"/>
                      <w:lang w:eastAsia="en-IN"/>
                    </w:rPr>
                    <w:br/>
                  </w:r>
                  <w:r w:rsidRPr="00C8583C">
                    <w:rPr>
                      <w:rFonts w:ascii="Times New Roman" w:eastAsia="Times New Roman" w:hAnsi="Times New Roman" w:cs="Times New Roman"/>
                      <w:noProof/>
                      <w:sz w:val="24"/>
                      <w:szCs w:val="24"/>
                      <w:lang w:eastAsia="en-IN"/>
                    </w:rPr>
                    <w:drawing>
                      <wp:inline distT="0" distB="0" distL="0" distR="0" wp14:anchorId="2CCF6788" wp14:editId="066D9FE9">
                        <wp:extent cx="152400" cy="152400"/>
                        <wp:effectExtent l="0" t="0" r="0"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14:paraId="081EBAFB"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hyperlink r:id="rId5" w:history="1">
                    <w:r w:rsidRPr="00C8583C">
                      <w:rPr>
                        <w:rFonts w:ascii="Arial" w:eastAsia="Times New Roman" w:hAnsi="Arial" w:cs="Arial"/>
                        <w:color w:val="000000"/>
                        <w:sz w:val="17"/>
                        <w:szCs w:val="17"/>
                        <w:u w:val="single"/>
                        <w:lang w:eastAsia="en-IN"/>
                      </w:rPr>
                      <w:t>Print Document</w:t>
                    </w:r>
                  </w:hyperlink>
                </w:p>
              </w:tc>
              <w:tc>
                <w:tcPr>
                  <w:tcW w:w="0" w:type="auto"/>
                  <w:vAlign w:val="center"/>
                  <w:hideMark/>
                </w:tcPr>
                <w:p w14:paraId="1DF7EB34"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r w:rsidRPr="00C8583C">
                    <w:rPr>
                      <w:rFonts w:ascii="Times New Roman" w:eastAsia="Times New Roman" w:hAnsi="Times New Roman" w:cs="Times New Roman"/>
                      <w:sz w:val="24"/>
                      <w:szCs w:val="24"/>
                      <w:lang w:eastAsia="en-IN"/>
                    </w:rPr>
                    <w:t> </w:t>
                  </w:r>
                </w:p>
              </w:tc>
              <w:tc>
                <w:tcPr>
                  <w:tcW w:w="0" w:type="auto"/>
                  <w:vAlign w:val="center"/>
                  <w:hideMark/>
                </w:tcPr>
                <w:p w14:paraId="4B06F053"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643E7019"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r w:rsidRPr="00C8583C">
                    <w:rPr>
                      <w:rFonts w:ascii="Times New Roman" w:eastAsia="Times New Roman" w:hAnsi="Times New Roman" w:cs="Times New Roman"/>
                      <w:sz w:val="24"/>
                      <w:szCs w:val="24"/>
                      <w:lang w:eastAsia="en-IN"/>
                    </w:rPr>
                    <w:t> </w:t>
                  </w:r>
                </w:p>
              </w:tc>
              <w:tc>
                <w:tcPr>
                  <w:tcW w:w="0" w:type="auto"/>
                  <w:vAlign w:val="center"/>
                  <w:hideMark/>
                </w:tcPr>
                <w:p w14:paraId="4A5F6804"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492641BC"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r w:rsidRPr="00C8583C">
                    <w:rPr>
                      <w:rFonts w:ascii="Times New Roman" w:eastAsia="Times New Roman" w:hAnsi="Times New Roman" w:cs="Times New Roman"/>
                      <w:sz w:val="24"/>
                      <w:szCs w:val="24"/>
                      <w:lang w:eastAsia="en-IN"/>
                    </w:rPr>
                    <w:t> </w:t>
                  </w:r>
                </w:p>
              </w:tc>
              <w:tc>
                <w:tcPr>
                  <w:tcW w:w="0" w:type="auto"/>
                  <w:vAlign w:val="center"/>
                  <w:hideMark/>
                </w:tcPr>
                <w:p w14:paraId="5BB4B2CB"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3E3C0C5C"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r w:rsidRPr="00C8583C">
                    <w:rPr>
                      <w:rFonts w:ascii="Times New Roman" w:eastAsia="Times New Roman" w:hAnsi="Times New Roman" w:cs="Times New Roman"/>
                      <w:sz w:val="24"/>
                      <w:szCs w:val="24"/>
                      <w:lang w:eastAsia="en-IN"/>
                    </w:rPr>
                    <w:t> </w:t>
                  </w:r>
                </w:p>
              </w:tc>
              <w:tc>
                <w:tcPr>
                  <w:tcW w:w="0" w:type="auto"/>
                  <w:vAlign w:val="center"/>
                  <w:hideMark/>
                </w:tcPr>
                <w:p w14:paraId="20B2ED81" w14:textId="77777777" w:rsidR="00C8583C" w:rsidRPr="00C8583C" w:rsidRDefault="00C8583C" w:rsidP="00C8583C">
                  <w:pPr>
                    <w:spacing w:after="0" w:line="240" w:lineRule="auto"/>
                    <w:jc w:val="right"/>
                    <w:rPr>
                      <w:rFonts w:ascii="Times New Roman" w:eastAsia="Times New Roman" w:hAnsi="Times New Roman" w:cs="Times New Roman"/>
                      <w:sz w:val="24"/>
                      <w:szCs w:val="24"/>
                      <w:lang w:eastAsia="en-IN"/>
                    </w:rPr>
                  </w:pPr>
                </w:p>
              </w:tc>
            </w:tr>
          </w:tbl>
          <w:p w14:paraId="53A06764" w14:textId="77777777" w:rsidR="00C8583C" w:rsidRPr="00C8583C" w:rsidRDefault="00C8583C" w:rsidP="00C8583C">
            <w:pPr>
              <w:spacing w:after="0" w:line="240" w:lineRule="auto"/>
              <w:rPr>
                <w:rFonts w:ascii="Arial" w:eastAsia="Times New Roman" w:hAnsi="Arial" w:cs="Arial"/>
                <w:sz w:val="24"/>
                <w:szCs w:val="24"/>
                <w:lang w:eastAsia="en-IN"/>
              </w:rPr>
            </w:pPr>
          </w:p>
        </w:tc>
      </w:tr>
      <w:tr w:rsidR="00C8583C" w:rsidRPr="00C8583C" w14:paraId="12658935" w14:textId="77777777" w:rsidTr="00C8583C">
        <w:trPr>
          <w:trHeight w:val="120"/>
          <w:tblCellSpacing w:w="0" w:type="dxa"/>
        </w:trPr>
        <w:tc>
          <w:tcPr>
            <w:tcW w:w="0" w:type="auto"/>
            <w:shd w:val="clear" w:color="auto" w:fill="FFFFFF"/>
            <w:vAlign w:val="center"/>
            <w:hideMark/>
          </w:tcPr>
          <w:p w14:paraId="062346F3" w14:textId="77777777" w:rsidR="00C8583C" w:rsidRPr="00C8583C" w:rsidRDefault="00C8583C" w:rsidP="00C8583C">
            <w:pPr>
              <w:spacing w:after="0" w:line="240" w:lineRule="auto"/>
              <w:rPr>
                <w:rFonts w:ascii="Times New Roman" w:eastAsia="Times New Roman" w:hAnsi="Times New Roman" w:cs="Times New Roman"/>
                <w:sz w:val="20"/>
                <w:szCs w:val="20"/>
                <w:lang w:eastAsia="en-IN"/>
              </w:rPr>
            </w:pPr>
          </w:p>
        </w:tc>
      </w:tr>
      <w:tr w:rsidR="00C8583C" w:rsidRPr="00C8583C" w14:paraId="3052BAA9" w14:textId="77777777" w:rsidTr="00C8583C">
        <w:trPr>
          <w:tblCellSpacing w:w="0" w:type="dxa"/>
        </w:trPr>
        <w:tc>
          <w:tcPr>
            <w:tcW w:w="0" w:type="auto"/>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8583C" w:rsidRPr="00C8583C" w14:paraId="2461B421" w14:textId="77777777">
              <w:trPr>
                <w:trHeight w:val="2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14:paraId="5C4D812E" w14:textId="77777777" w:rsidR="00C8583C" w:rsidRPr="00C8583C" w:rsidRDefault="00C8583C" w:rsidP="00C8583C">
                  <w:pPr>
                    <w:spacing w:after="0" w:line="240" w:lineRule="auto"/>
                    <w:jc w:val="center"/>
                    <w:rPr>
                      <w:rFonts w:ascii="Times New Roman" w:eastAsia="Times New Roman" w:hAnsi="Times New Roman" w:cs="Times New Roman"/>
                      <w:b/>
                      <w:bCs/>
                      <w:color w:val="FFFFFF"/>
                      <w:sz w:val="18"/>
                      <w:szCs w:val="18"/>
                      <w:lang w:eastAsia="en-IN"/>
                    </w:rPr>
                  </w:pPr>
                  <w:r w:rsidRPr="00C8583C">
                    <w:rPr>
                      <w:rFonts w:ascii="Times New Roman" w:eastAsia="Times New Roman" w:hAnsi="Times New Roman" w:cs="Times New Roman"/>
                      <w:b/>
                      <w:bCs/>
                      <w:color w:val="FFFFFF"/>
                      <w:sz w:val="18"/>
                      <w:szCs w:val="18"/>
                      <w:lang w:eastAsia="en-IN"/>
                    </w:rPr>
                    <w:t>Circular</w:t>
                  </w:r>
                </w:p>
              </w:tc>
            </w:tr>
            <w:tr w:rsidR="00C8583C" w:rsidRPr="00C8583C" w14:paraId="03D03B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7167"/>
                    <w:gridCol w:w="1813"/>
                  </w:tblGrid>
                  <w:tr w:rsidR="00C8583C" w:rsidRPr="00C8583C" w14:paraId="58992FDC" w14:textId="77777777">
                    <w:trPr>
                      <w:tblCellSpacing w:w="0" w:type="dxa"/>
                    </w:trPr>
                    <w:tc>
                      <w:tcPr>
                        <w:tcW w:w="0" w:type="auto"/>
                        <w:shd w:val="clear" w:color="auto" w:fill="F2F2F2"/>
                        <w:vAlign w:val="center"/>
                        <w:hideMark/>
                      </w:tcPr>
                      <w:p w14:paraId="5348177A" w14:textId="77777777" w:rsidR="00C8583C" w:rsidRPr="00C8583C" w:rsidRDefault="00C8583C" w:rsidP="00C8583C">
                        <w:pPr>
                          <w:spacing w:after="0" w:line="240" w:lineRule="auto"/>
                          <w:rPr>
                            <w:rFonts w:ascii="Arial" w:eastAsia="Times New Roman" w:hAnsi="Arial" w:cs="Arial"/>
                            <w:color w:val="000000"/>
                            <w:sz w:val="18"/>
                            <w:szCs w:val="18"/>
                            <w:lang w:eastAsia="en-IN"/>
                          </w:rPr>
                        </w:pPr>
                        <w:r w:rsidRPr="00C8583C">
                          <w:rPr>
                            <w:rFonts w:ascii="Arial" w:eastAsia="Times New Roman" w:hAnsi="Arial" w:cs="Arial"/>
                            <w:b/>
                            <w:bCs/>
                            <w:color w:val="000000"/>
                            <w:sz w:val="18"/>
                            <w:szCs w:val="18"/>
                            <w:lang w:eastAsia="en-IN"/>
                          </w:rPr>
                          <w:t xml:space="preserve">Ref. </w:t>
                        </w:r>
                        <w:proofErr w:type="spellStart"/>
                        <w:proofErr w:type="gramStart"/>
                        <w:r w:rsidRPr="00C8583C">
                          <w:rPr>
                            <w:rFonts w:ascii="Arial" w:eastAsia="Times New Roman" w:hAnsi="Arial" w:cs="Arial"/>
                            <w:b/>
                            <w:bCs/>
                            <w:color w:val="000000"/>
                            <w:sz w:val="18"/>
                            <w:szCs w:val="18"/>
                            <w:lang w:eastAsia="en-IN"/>
                          </w:rPr>
                          <w:t>No:</w:t>
                        </w:r>
                        <w:r w:rsidRPr="00C8583C">
                          <w:rPr>
                            <w:rFonts w:ascii="Arial" w:eastAsia="Times New Roman" w:hAnsi="Arial" w:cs="Arial"/>
                            <w:color w:val="000000"/>
                            <w:sz w:val="18"/>
                            <w:szCs w:val="18"/>
                            <w:lang w:eastAsia="en-IN"/>
                          </w:rPr>
                          <w:t>IRDA</w:t>
                        </w:r>
                        <w:proofErr w:type="spellEnd"/>
                        <w:proofErr w:type="gramEnd"/>
                        <w:r w:rsidRPr="00C8583C">
                          <w:rPr>
                            <w:rFonts w:ascii="Arial" w:eastAsia="Times New Roman" w:hAnsi="Arial" w:cs="Arial"/>
                            <w:color w:val="000000"/>
                            <w:sz w:val="18"/>
                            <w:szCs w:val="18"/>
                            <w:lang w:eastAsia="en-IN"/>
                          </w:rPr>
                          <w:t>/</w:t>
                        </w:r>
                        <w:proofErr w:type="spellStart"/>
                        <w:r w:rsidRPr="00C8583C">
                          <w:rPr>
                            <w:rFonts w:ascii="Arial" w:eastAsia="Times New Roman" w:hAnsi="Arial" w:cs="Arial"/>
                            <w:color w:val="000000"/>
                            <w:sz w:val="18"/>
                            <w:szCs w:val="18"/>
                            <w:lang w:eastAsia="en-IN"/>
                          </w:rPr>
                          <w:t>AgencyDistribution</w:t>
                        </w:r>
                        <w:proofErr w:type="spellEnd"/>
                        <w:r w:rsidRPr="00C8583C">
                          <w:rPr>
                            <w:rFonts w:ascii="Arial" w:eastAsia="Times New Roman" w:hAnsi="Arial" w:cs="Arial"/>
                            <w:color w:val="000000"/>
                            <w:sz w:val="18"/>
                            <w:szCs w:val="18"/>
                            <w:lang w:eastAsia="en-IN"/>
                          </w:rPr>
                          <w:t>/CIR/</w:t>
                        </w:r>
                        <w:proofErr w:type="spellStart"/>
                        <w:r w:rsidRPr="00C8583C">
                          <w:rPr>
                            <w:rFonts w:ascii="Arial" w:eastAsia="Times New Roman" w:hAnsi="Arial" w:cs="Arial"/>
                            <w:color w:val="000000"/>
                            <w:sz w:val="18"/>
                            <w:szCs w:val="18"/>
                            <w:lang w:eastAsia="en-IN"/>
                          </w:rPr>
                          <w:t>CorpAgency</w:t>
                        </w:r>
                        <w:proofErr w:type="spellEnd"/>
                        <w:r w:rsidRPr="00C8583C">
                          <w:rPr>
                            <w:rFonts w:ascii="Arial" w:eastAsia="Times New Roman" w:hAnsi="Arial" w:cs="Arial"/>
                            <w:color w:val="000000"/>
                            <w:sz w:val="18"/>
                            <w:szCs w:val="18"/>
                            <w:lang w:eastAsia="en-IN"/>
                          </w:rPr>
                          <w:t>/086/04/2020</w:t>
                        </w:r>
                      </w:p>
                    </w:tc>
                    <w:tc>
                      <w:tcPr>
                        <w:tcW w:w="0" w:type="auto"/>
                        <w:shd w:val="clear" w:color="auto" w:fill="F2F2F2"/>
                        <w:vAlign w:val="center"/>
                        <w:hideMark/>
                      </w:tcPr>
                      <w:p w14:paraId="0FB973B9" w14:textId="77777777" w:rsidR="00C8583C" w:rsidRPr="00C8583C" w:rsidRDefault="00C8583C" w:rsidP="00C8583C">
                        <w:pPr>
                          <w:spacing w:after="0" w:line="240" w:lineRule="auto"/>
                          <w:jc w:val="right"/>
                          <w:rPr>
                            <w:rFonts w:ascii="Times New Roman" w:eastAsia="Times New Roman" w:hAnsi="Times New Roman" w:cs="Times New Roman"/>
                            <w:color w:val="000000"/>
                            <w:sz w:val="18"/>
                            <w:szCs w:val="18"/>
                            <w:lang w:eastAsia="en-IN"/>
                          </w:rPr>
                        </w:pPr>
                        <w:r w:rsidRPr="00C8583C">
                          <w:rPr>
                            <w:rFonts w:ascii="Times New Roman" w:eastAsia="Times New Roman" w:hAnsi="Times New Roman" w:cs="Times New Roman"/>
                            <w:b/>
                            <w:bCs/>
                            <w:color w:val="000000"/>
                            <w:sz w:val="18"/>
                            <w:szCs w:val="18"/>
                            <w:lang w:eastAsia="en-IN"/>
                          </w:rPr>
                          <w:t>Date:</w:t>
                        </w:r>
                        <w:r w:rsidRPr="00C8583C">
                          <w:rPr>
                            <w:rFonts w:ascii="Times New Roman" w:eastAsia="Times New Roman" w:hAnsi="Times New Roman" w:cs="Times New Roman"/>
                            <w:color w:val="000000"/>
                            <w:sz w:val="18"/>
                            <w:szCs w:val="18"/>
                            <w:lang w:eastAsia="en-IN"/>
                          </w:rPr>
                          <w:t>08-04-2020</w:t>
                        </w:r>
                      </w:p>
                    </w:tc>
                  </w:tr>
                </w:tbl>
                <w:p w14:paraId="07CDF8D8" w14:textId="77777777" w:rsidR="00C8583C" w:rsidRPr="00C8583C" w:rsidRDefault="00C8583C" w:rsidP="00C8583C">
                  <w:pPr>
                    <w:spacing w:after="0" w:line="240" w:lineRule="auto"/>
                    <w:rPr>
                      <w:rFonts w:ascii="Times New Roman" w:eastAsia="Times New Roman" w:hAnsi="Times New Roman" w:cs="Times New Roman"/>
                      <w:color w:val="000000"/>
                      <w:sz w:val="18"/>
                      <w:szCs w:val="18"/>
                      <w:lang w:eastAsia="en-IN"/>
                    </w:rPr>
                  </w:pPr>
                </w:p>
              </w:tc>
            </w:tr>
            <w:tr w:rsidR="00C8583C" w:rsidRPr="00C8583C" w14:paraId="7C8801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6694FBAD" w14:textId="77777777" w:rsidR="00C8583C" w:rsidRPr="00C8583C" w:rsidRDefault="00C8583C" w:rsidP="00C8583C">
                  <w:pPr>
                    <w:spacing w:after="0" w:line="240" w:lineRule="auto"/>
                    <w:jc w:val="center"/>
                    <w:rPr>
                      <w:rFonts w:ascii="Times New Roman" w:eastAsia="Times New Roman" w:hAnsi="Times New Roman" w:cs="Times New Roman"/>
                      <w:b/>
                      <w:bCs/>
                      <w:color w:val="000000"/>
                      <w:sz w:val="18"/>
                      <w:szCs w:val="18"/>
                      <w:lang w:eastAsia="en-IN"/>
                    </w:rPr>
                  </w:pPr>
                  <w:r w:rsidRPr="00C8583C">
                    <w:rPr>
                      <w:rFonts w:ascii="Times New Roman" w:eastAsia="Times New Roman" w:hAnsi="Times New Roman" w:cs="Times New Roman"/>
                      <w:b/>
                      <w:bCs/>
                      <w:color w:val="000000"/>
                      <w:sz w:val="18"/>
                      <w:szCs w:val="18"/>
                      <w:lang w:eastAsia="en-IN"/>
                    </w:rPr>
                    <w:t>Corporate Agency matters of the PSBs that have merged w.e.f. 1st April 2020</w:t>
                  </w:r>
                </w:p>
              </w:tc>
            </w:tr>
            <w:tr w:rsidR="00C8583C" w:rsidRPr="00C8583C" w14:paraId="3ED82E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8980"/>
                  </w:tblGrid>
                  <w:tr w:rsidR="00C8583C" w:rsidRPr="00C8583C" w14:paraId="2F0D8334" w14:textId="77777777">
                    <w:trPr>
                      <w:tblCellSpacing w:w="0" w:type="dxa"/>
                    </w:trPr>
                    <w:tc>
                      <w:tcPr>
                        <w:tcW w:w="0" w:type="auto"/>
                        <w:shd w:val="clear" w:color="auto" w:fill="F2F2F2"/>
                        <w:vAlign w:val="center"/>
                        <w:hideMark/>
                      </w:tcPr>
                      <w:p w14:paraId="08B7FDCB" w14:textId="77777777" w:rsidR="00C8583C" w:rsidRPr="00C8583C" w:rsidRDefault="00C8583C" w:rsidP="00C8583C">
                        <w:pPr>
                          <w:spacing w:after="0" w:line="330" w:lineRule="atLeast"/>
                          <w:ind w:right="450"/>
                          <w:rPr>
                            <w:rFonts w:ascii="Calibri" w:eastAsia="Times New Roman" w:hAnsi="Calibri" w:cs="Calibri"/>
                            <w:color w:val="000000"/>
                            <w:lang w:eastAsia="en-IN"/>
                          </w:rPr>
                        </w:pPr>
                        <w:r w:rsidRPr="00C8583C">
                          <w:rPr>
                            <w:rFonts w:ascii="Arial" w:eastAsia="Times New Roman" w:hAnsi="Arial" w:cs="Arial"/>
                            <w:b/>
                            <w:bCs/>
                            <w:color w:val="000000"/>
                            <w:lang w:eastAsia="en-IN"/>
                          </w:rPr>
                          <w:t>Ref: IRDAI/CA/CIR/MISC/086/04/2020 Date- 08.04.2020</w:t>
                        </w:r>
                      </w:p>
                      <w:p w14:paraId="158FFC89" w14:textId="77777777" w:rsidR="00C8583C" w:rsidRPr="00C8583C" w:rsidRDefault="00C8583C" w:rsidP="00C8583C">
                        <w:pPr>
                          <w:spacing w:after="0" w:line="330" w:lineRule="atLeast"/>
                          <w:ind w:right="450"/>
                          <w:rPr>
                            <w:rFonts w:ascii="Calibri" w:eastAsia="Times New Roman" w:hAnsi="Calibri" w:cs="Calibri"/>
                            <w:color w:val="000000"/>
                            <w:lang w:eastAsia="en-IN"/>
                          </w:rPr>
                        </w:pPr>
                        <w:r w:rsidRPr="00C8583C">
                          <w:rPr>
                            <w:rFonts w:ascii="Arial" w:eastAsia="Times New Roman" w:hAnsi="Arial" w:cs="Arial"/>
                            <w:b/>
                            <w:bCs/>
                            <w:color w:val="000000"/>
                            <w:lang w:eastAsia="en-IN"/>
                          </w:rPr>
                          <w:t> </w:t>
                        </w:r>
                      </w:p>
                      <w:p w14:paraId="4FD7D88E" w14:textId="77777777" w:rsidR="00C8583C" w:rsidRPr="00C8583C" w:rsidRDefault="00C8583C" w:rsidP="00C8583C">
                        <w:pPr>
                          <w:spacing w:after="0" w:line="330" w:lineRule="atLeast"/>
                          <w:ind w:right="450"/>
                          <w:rPr>
                            <w:rFonts w:ascii="Calibri" w:eastAsia="Times New Roman" w:hAnsi="Calibri" w:cs="Calibri"/>
                            <w:color w:val="000000"/>
                            <w:lang w:eastAsia="en-IN"/>
                          </w:rPr>
                        </w:pPr>
                        <w:r w:rsidRPr="00C8583C">
                          <w:rPr>
                            <w:rFonts w:ascii="Arial" w:eastAsia="Times New Roman" w:hAnsi="Arial" w:cs="Arial"/>
                            <w:b/>
                            <w:bCs/>
                            <w:color w:val="000000"/>
                            <w:lang w:eastAsia="en-IN"/>
                          </w:rPr>
                          <w:t xml:space="preserve">To CEOs of concerned Public Sector </w:t>
                        </w:r>
                        <w:proofErr w:type="gramStart"/>
                        <w:r w:rsidRPr="00C8583C">
                          <w:rPr>
                            <w:rFonts w:ascii="Arial" w:eastAsia="Times New Roman" w:hAnsi="Arial" w:cs="Arial"/>
                            <w:b/>
                            <w:bCs/>
                            <w:color w:val="000000"/>
                            <w:lang w:eastAsia="en-IN"/>
                          </w:rPr>
                          <w:t>Banks(</w:t>
                        </w:r>
                        <w:proofErr w:type="gramEnd"/>
                        <w:r w:rsidRPr="00C8583C">
                          <w:rPr>
                            <w:rFonts w:ascii="Arial" w:eastAsia="Times New Roman" w:hAnsi="Arial" w:cs="Arial"/>
                            <w:b/>
                            <w:bCs/>
                            <w:color w:val="000000"/>
                            <w:lang w:eastAsia="en-IN"/>
                          </w:rPr>
                          <w:t>PSBs) and Insurers</w:t>
                        </w:r>
                      </w:p>
                      <w:p w14:paraId="269B8FB0" w14:textId="77777777" w:rsidR="00C8583C" w:rsidRPr="00C8583C" w:rsidRDefault="00C8583C" w:rsidP="00C8583C">
                        <w:pPr>
                          <w:spacing w:after="0" w:line="330" w:lineRule="atLeast"/>
                          <w:ind w:right="450"/>
                          <w:jc w:val="center"/>
                          <w:rPr>
                            <w:rFonts w:ascii="Calibri" w:eastAsia="Times New Roman" w:hAnsi="Calibri" w:cs="Calibri"/>
                            <w:color w:val="000000"/>
                            <w:lang w:eastAsia="en-IN"/>
                          </w:rPr>
                        </w:pPr>
                        <w:r w:rsidRPr="00C8583C">
                          <w:rPr>
                            <w:rFonts w:ascii="Arial" w:eastAsia="Times New Roman" w:hAnsi="Arial" w:cs="Arial"/>
                            <w:b/>
                            <w:bCs/>
                            <w:color w:val="000000"/>
                            <w:lang w:eastAsia="en-IN"/>
                          </w:rPr>
                          <w:t>Re: Corporate Agency matters of the PSBs that have merged w.e.f. 1</w:t>
                        </w:r>
                        <w:r w:rsidRPr="00C8583C">
                          <w:rPr>
                            <w:rFonts w:ascii="Arial" w:eastAsia="Times New Roman" w:hAnsi="Arial" w:cs="Arial"/>
                            <w:b/>
                            <w:bCs/>
                            <w:color w:val="000000"/>
                            <w:vertAlign w:val="superscript"/>
                            <w:lang w:eastAsia="en-IN"/>
                          </w:rPr>
                          <w:t>st</w:t>
                        </w:r>
                        <w:r w:rsidRPr="00C8583C">
                          <w:rPr>
                            <w:rFonts w:ascii="Arial" w:eastAsia="Times New Roman" w:hAnsi="Arial" w:cs="Arial"/>
                            <w:b/>
                            <w:bCs/>
                            <w:color w:val="000000"/>
                            <w:lang w:eastAsia="en-IN"/>
                          </w:rPr>
                          <w:t> April 2020</w:t>
                        </w:r>
                      </w:p>
                      <w:p w14:paraId="38E40D15" w14:textId="77777777" w:rsidR="00C8583C" w:rsidRPr="00C8583C" w:rsidRDefault="00C8583C" w:rsidP="00C8583C">
                        <w:pPr>
                          <w:spacing w:after="0" w:line="360" w:lineRule="atLeast"/>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1FD6B6AC" w14:textId="77777777" w:rsidR="00C8583C" w:rsidRPr="00C8583C" w:rsidRDefault="00C8583C" w:rsidP="00C8583C">
                        <w:pPr>
                          <w:spacing w:after="0" w:line="360" w:lineRule="atLeast"/>
                          <w:ind w:left="36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1.</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u w:val="single"/>
                            <w:lang w:eastAsia="en-IN"/>
                          </w:rPr>
                          <w:t>Scope of the circular</w:t>
                        </w:r>
                      </w:p>
                      <w:p w14:paraId="0B2AA85F"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This circular is applicable to the four banks emerging from the mega merger exercise effected from 1</w:t>
                        </w:r>
                        <w:r w:rsidRPr="00C8583C">
                          <w:rPr>
                            <w:rFonts w:ascii="Arial" w:eastAsia="Times New Roman" w:hAnsi="Arial" w:cs="Arial"/>
                            <w:color w:val="000000"/>
                            <w:vertAlign w:val="superscript"/>
                            <w:lang w:eastAsia="en-IN"/>
                          </w:rPr>
                          <w:t>st</w:t>
                        </w:r>
                        <w:r w:rsidRPr="00C8583C">
                          <w:rPr>
                            <w:rFonts w:ascii="Arial" w:eastAsia="Times New Roman" w:hAnsi="Arial" w:cs="Arial"/>
                            <w:color w:val="000000"/>
                            <w:lang w:eastAsia="en-IN"/>
                          </w:rPr>
                          <w:t> April, 2020; i.e. Punjab National Bank, Canara Bank, Union Bank of India and Indian Bank and concerned insurers. In this circular, the four banks are referred as ‘Acquiring Bank’ and the banks that were merged with the acquiring bank are referred as ‘Acquired Bank’.</w:t>
                        </w:r>
                      </w:p>
                      <w:p w14:paraId="7E8A0DB7"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113D1115" w14:textId="77777777" w:rsidR="00C8583C" w:rsidRPr="00C8583C" w:rsidRDefault="00C8583C" w:rsidP="00C8583C">
                        <w:pPr>
                          <w:spacing w:after="200" w:line="360" w:lineRule="atLeast"/>
                          <w:ind w:left="36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2.</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u w:val="single"/>
                            <w:lang w:eastAsia="en-IN"/>
                          </w:rPr>
                          <w:t>Surrender of Certification of Registration (COR)</w:t>
                        </w:r>
                      </w:p>
                      <w:p w14:paraId="6EC4FFCF"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xml:space="preserve">Acquiring bank shall retain the existing COR to act as a corporate agent and surrender COR(s) held by acquired banks by submitting written request to the Authority. The surrender shall be allowed subject to undertaking from the acquiring bank regarding servicing of existing policyholders of acquired </w:t>
                        </w:r>
                        <w:proofErr w:type="spellStart"/>
                        <w:r w:rsidRPr="00C8583C">
                          <w:rPr>
                            <w:rFonts w:ascii="Arial" w:eastAsia="Times New Roman" w:hAnsi="Arial" w:cs="Arial"/>
                            <w:color w:val="000000"/>
                            <w:lang w:eastAsia="en-IN"/>
                          </w:rPr>
                          <w:t>banksby</w:t>
                        </w:r>
                        <w:proofErr w:type="spellEnd"/>
                        <w:r w:rsidRPr="00C8583C">
                          <w:rPr>
                            <w:rFonts w:ascii="Arial" w:eastAsia="Times New Roman" w:hAnsi="Arial" w:cs="Arial"/>
                            <w:color w:val="000000"/>
                            <w:lang w:eastAsia="en-IN"/>
                          </w:rPr>
                          <w:t xml:space="preserve"> entering into suitable arrangement with the insurers that had arrangement with acquired banks. In case of non-agreement between concerned insurer and acquiring bank, the insurer shall be responsible for servicing existing policyholders of acquired </w:t>
                        </w:r>
                        <w:proofErr w:type="spellStart"/>
                        <w:r w:rsidRPr="00C8583C">
                          <w:rPr>
                            <w:rFonts w:ascii="Arial" w:eastAsia="Times New Roman" w:hAnsi="Arial" w:cs="Arial"/>
                            <w:color w:val="000000"/>
                            <w:lang w:eastAsia="en-IN"/>
                          </w:rPr>
                          <w:t>bankstill</w:t>
                        </w:r>
                        <w:proofErr w:type="spellEnd"/>
                        <w:r w:rsidRPr="00C8583C">
                          <w:rPr>
                            <w:rFonts w:ascii="Arial" w:eastAsia="Times New Roman" w:hAnsi="Arial" w:cs="Arial"/>
                            <w:color w:val="000000"/>
                            <w:lang w:eastAsia="en-IN"/>
                          </w:rPr>
                          <w:t xml:space="preserve"> expiry of the policy term.</w:t>
                        </w:r>
                      </w:p>
                      <w:p w14:paraId="16969659"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2A128869" w14:textId="77777777" w:rsidR="00C8583C" w:rsidRPr="00C8583C" w:rsidRDefault="00C8583C" w:rsidP="00C8583C">
                        <w:pPr>
                          <w:spacing w:after="200" w:line="360" w:lineRule="atLeast"/>
                          <w:ind w:left="36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3.</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u w:val="single"/>
                            <w:lang w:eastAsia="en-IN"/>
                          </w:rPr>
                          <w:t>Harmonisation of corporate agency agreements between acquiring banks and insurers</w:t>
                        </w:r>
                      </w:p>
                      <w:p w14:paraId="2407E0D7" w14:textId="77777777" w:rsidR="00C8583C" w:rsidRPr="00C8583C" w:rsidRDefault="00C8583C" w:rsidP="00C8583C">
                        <w:pPr>
                          <w:spacing w:after="0" w:line="360" w:lineRule="atLeast"/>
                          <w:ind w:left="72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A.</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lang w:eastAsia="en-IN"/>
                          </w:rPr>
                          <w:t xml:space="preserve">Notwithstanding the provisions of Reg. 3 of IRDAI (Registration of Corporate Agents) Regulations, 2015, the acquiring bank may continue arrangement with more than 3 entities in each of the life, </w:t>
                        </w:r>
                        <w:proofErr w:type="spellStart"/>
                        <w:r w:rsidRPr="00C8583C">
                          <w:rPr>
                            <w:rFonts w:ascii="Arial" w:eastAsia="Times New Roman" w:hAnsi="Arial" w:cs="Arial"/>
                            <w:color w:val="000000"/>
                            <w:lang w:eastAsia="en-IN"/>
                          </w:rPr>
                          <w:t>generaland</w:t>
                        </w:r>
                        <w:proofErr w:type="spellEnd"/>
                        <w:r w:rsidRPr="00C8583C">
                          <w:rPr>
                            <w:rFonts w:ascii="Arial" w:eastAsia="Times New Roman" w:hAnsi="Arial" w:cs="Arial"/>
                            <w:color w:val="000000"/>
                            <w:lang w:eastAsia="en-IN"/>
                          </w:rPr>
                          <w:t xml:space="preserve"> health categories of insurers for a period of 12 months from the date of merger by transfer of the existing insurance arrangements of the acquired banks to their name by way of an addendum to the existing corporate agency agreement executed by the acquired banks. </w:t>
                        </w:r>
                        <w:r w:rsidRPr="00C8583C">
                          <w:rPr>
                            <w:rFonts w:ascii="Arial" w:eastAsia="Times New Roman" w:hAnsi="Arial" w:cs="Arial"/>
                            <w:color w:val="000000"/>
                            <w:lang w:val="en-US" w:eastAsia="en-IN"/>
                          </w:rPr>
                          <w:t xml:space="preserve">This exemption </w:t>
                        </w:r>
                        <w:proofErr w:type="spellStart"/>
                        <w:r w:rsidRPr="00C8583C">
                          <w:rPr>
                            <w:rFonts w:ascii="Arial" w:eastAsia="Times New Roman" w:hAnsi="Arial" w:cs="Arial"/>
                            <w:color w:val="000000"/>
                            <w:lang w:val="en-US" w:eastAsia="en-IN"/>
                          </w:rPr>
                          <w:t>allowsonly</w:t>
                        </w:r>
                        <w:proofErr w:type="spellEnd"/>
                        <w:r w:rsidRPr="00C8583C">
                          <w:rPr>
                            <w:rFonts w:ascii="Arial" w:eastAsia="Times New Roman" w:hAnsi="Arial" w:cs="Arial"/>
                            <w:color w:val="000000"/>
                            <w:lang w:val="en-US" w:eastAsia="en-IN"/>
                          </w:rPr>
                          <w:t xml:space="preserve"> for transfer of existing insurance arrangements of </w:t>
                        </w:r>
                        <w:r w:rsidRPr="00C8583C">
                          <w:rPr>
                            <w:rFonts w:ascii="Arial" w:eastAsia="Times New Roman" w:hAnsi="Arial" w:cs="Arial"/>
                            <w:color w:val="000000"/>
                            <w:lang w:eastAsia="en-IN"/>
                          </w:rPr>
                          <w:t>acquired banks</w:t>
                        </w:r>
                        <w:r w:rsidRPr="00C8583C">
                          <w:rPr>
                            <w:rFonts w:ascii="Arial" w:eastAsia="Times New Roman" w:hAnsi="Arial" w:cs="Arial"/>
                            <w:color w:val="000000"/>
                            <w:lang w:val="en-US" w:eastAsia="en-IN"/>
                          </w:rPr>
                          <w:t> to the </w:t>
                        </w:r>
                        <w:r w:rsidRPr="00C8583C">
                          <w:rPr>
                            <w:rFonts w:ascii="Arial" w:eastAsia="Times New Roman" w:hAnsi="Arial" w:cs="Arial"/>
                            <w:color w:val="000000"/>
                            <w:lang w:eastAsia="en-IN"/>
                          </w:rPr>
                          <w:t>acquiring banks </w:t>
                        </w:r>
                        <w:r w:rsidRPr="00C8583C">
                          <w:rPr>
                            <w:rFonts w:ascii="Arial" w:eastAsia="Times New Roman" w:hAnsi="Arial" w:cs="Arial"/>
                            <w:color w:val="000000"/>
                            <w:lang w:val="en-US" w:eastAsia="en-IN"/>
                          </w:rPr>
                          <w:t>and shall not be construed as permission of the Authority to enter into new arrangements with other insurers.</w:t>
                        </w:r>
                      </w:p>
                      <w:p w14:paraId="5D495086" w14:textId="77777777" w:rsidR="00C8583C" w:rsidRPr="00C8583C" w:rsidRDefault="00C8583C" w:rsidP="00C8583C">
                        <w:pPr>
                          <w:spacing w:after="0" w:line="360" w:lineRule="atLeast"/>
                          <w:ind w:left="72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lastRenderedPageBreak/>
                          <w:t> </w:t>
                        </w:r>
                      </w:p>
                      <w:p w14:paraId="60A31C43" w14:textId="77777777" w:rsidR="00C8583C" w:rsidRPr="00C8583C" w:rsidRDefault="00C8583C" w:rsidP="00C8583C">
                        <w:pPr>
                          <w:spacing w:after="0" w:line="360" w:lineRule="atLeast"/>
                          <w:ind w:left="72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B.</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lang w:val="en-US" w:eastAsia="en-IN"/>
                          </w:rPr>
                          <w:t>The </w:t>
                        </w:r>
                        <w:r w:rsidRPr="00C8583C">
                          <w:rPr>
                            <w:rFonts w:ascii="Arial" w:eastAsia="Times New Roman" w:hAnsi="Arial" w:cs="Arial"/>
                            <w:color w:val="000000"/>
                            <w:lang w:eastAsia="en-IN"/>
                          </w:rPr>
                          <w:t>acquiring banks </w:t>
                        </w:r>
                        <w:r w:rsidRPr="00C8583C">
                          <w:rPr>
                            <w:rFonts w:ascii="Arial" w:eastAsia="Times New Roman" w:hAnsi="Arial" w:cs="Arial"/>
                            <w:color w:val="000000"/>
                            <w:lang w:val="en-US" w:eastAsia="en-IN"/>
                          </w:rPr>
                          <w:t>shall submit to Authority duly revised Board approved policy on adoption of open architecture and on the manner of soliciting and servicing insurance policies, as per Reg. 20(1) of IRDAI (</w:t>
                        </w:r>
                        <w:r w:rsidRPr="00C8583C">
                          <w:rPr>
                            <w:rFonts w:ascii="Arial" w:eastAsia="Times New Roman" w:hAnsi="Arial" w:cs="Arial"/>
                            <w:color w:val="000000"/>
                            <w:lang w:eastAsia="en-IN"/>
                          </w:rPr>
                          <w:t>Registration of Corporate Agents) Regulations, 2015, </w:t>
                        </w:r>
                        <w:r w:rsidRPr="00C8583C">
                          <w:rPr>
                            <w:rFonts w:ascii="Arial" w:eastAsia="Times New Roman" w:hAnsi="Arial" w:cs="Arial"/>
                            <w:color w:val="000000"/>
                            <w:lang w:val="en-US" w:eastAsia="en-IN"/>
                          </w:rPr>
                          <w:t>within 60 days of completion of the merger.</w:t>
                        </w:r>
                      </w:p>
                      <w:p w14:paraId="6C8032A5" w14:textId="77777777" w:rsidR="00C8583C" w:rsidRPr="00C8583C" w:rsidRDefault="00C8583C" w:rsidP="00C8583C">
                        <w:pPr>
                          <w:spacing w:after="0" w:line="360" w:lineRule="atLeast"/>
                          <w:ind w:left="72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0D23CAE5" w14:textId="77777777" w:rsidR="00C8583C" w:rsidRPr="00C8583C" w:rsidRDefault="00C8583C" w:rsidP="00C8583C">
                        <w:pPr>
                          <w:spacing w:after="200" w:line="360" w:lineRule="atLeast"/>
                          <w:ind w:left="360" w:hanging="36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4.</w:t>
                        </w:r>
                        <w:r w:rsidRPr="00C8583C">
                          <w:rPr>
                            <w:rFonts w:ascii="Times New Roman" w:eastAsia="Times New Roman" w:hAnsi="Times New Roman" w:cs="Times New Roman"/>
                            <w:color w:val="000000"/>
                            <w:sz w:val="14"/>
                            <w:szCs w:val="14"/>
                            <w:lang w:eastAsia="en-IN"/>
                          </w:rPr>
                          <w:t>    </w:t>
                        </w:r>
                        <w:r w:rsidRPr="00C8583C">
                          <w:rPr>
                            <w:rFonts w:ascii="Arial" w:eastAsia="Times New Roman" w:hAnsi="Arial" w:cs="Arial"/>
                            <w:color w:val="000000"/>
                            <w:u w:val="single"/>
                            <w:lang w:eastAsia="en-IN"/>
                          </w:rPr>
                          <w:t xml:space="preserve">Transfer of Specified Persons (SPs) of acquired </w:t>
                        </w:r>
                        <w:proofErr w:type="spellStart"/>
                        <w:r w:rsidRPr="00C8583C">
                          <w:rPr>
                            <w:rFonts w:ascii="Arial" w:eastAsia="Times New Roman" w:hAnsi="Arial" w:cs="Arial"/>
                            <w:color w:val="000000"/>
                            <w:u w:val="single"/>
                            <w:lang w:eastAsia="en-IN"/>
                          </w:rPr>
                          <w:t>banksto</w:t>
                        </w:r>
                        <w:proofErr w:type="spellEnd"/>
                        <w:r w:rsidRPr="00C8583C">
                          <w:rPr>
                            <w:rFonts w:ascii="Arial" w:eastAsia="Times New Roman" w:hAnsi="Arial" w:cs="Arial"/>
                            <w:color w:val="000000"/>
                            <w:u w:val="single"/>
                            <w:lang w:eastAsia="en-IN"/>
                          </w:rPr>
                          <w:t xml:space="preserve"> </w:t>
                        </w:r>
                        <w:proofErr w:type="spellStart"/>
                        <w:r w:rsidRPr="00C8583C">
                          <w:rPr>
                            <w:rFonts w:ascii="Arial" w:eastAsia="Times New Roman" w:hAnsi="Arial" w:cs="Arial"/>
                            <w:color w:val="000000"/>
                            <w:u w:val="single"/>
                            <w:lang w:eastAsia="en-IN"/>
                          </w:rPr>
                          <w:t>theacquiring</w:t>
                        </w:r>
                        <w:proofErr w:type="spellEnd"/>
                        <w:r w:rsidRPr="00C8583C">
                          <w:rPr>
                            <w:rFonts w:ascii="Arial" w:eastAsia="Times New Roman" w:hAnsi="Arial" w:cs="Arial"/>
                            <w:color w:val="000000"/>
                            <w:u w:val="single"/>
                            <w:lang w:eastAsia="en-IN"/>
                          </w:rPr>
                          <w:t xml:space="preserve"> bank</w:t>
                        </w:r>
                      </w:p>
                      <w:p w14:paraId="312B7CD9"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xml:space="preserve">Transfer of </w:t>
                        </w:r>
                        <w:proofErr w:type="spellStart"/>
                        <w:r w:rsidRPr="00C8583C">
                          <w:rPr>
                            <w:rFonts w:ascii="Arial" w:eastAsia="Times New Roman" w:hAnsi="Arial" w:cs="Arial"/>
                            <w:color w:val="000000"/>
                            <w:lang w:eastAsia="en-IN"/>
                          </w:rPr>
                          <w:t>SPsto</w:t>
                        </w:r>
                        <w:proofErr w:type="spellEnd"/>
                        <w:r w:rsidRPr="00C8583C">
                          <w:rPr>
                            <w:rFonts w:ascii="Arial" w:eastAsia="Times New Roman" w:hAnsi="Arial" w:cs="Arial"/>
                            <w:color w:val="000000"/>
                            <w:lang w:eastAsia="en-IN"/>
                          </w:rPr>
                          <w:t xml:space="preserve"> the acquiring bank shall be automatically recognised by the Authority on approval of surrender of CORs of acquired banks. No fee will be charged for issuance of revised SP </w:t>
                        </w:r>
                        <w:proofErr w:type="spellStart"/>
                        <w:proofErr w:type="gramStart"/>
                        <w:r w:rsidRPr="00C8583C">
                          <w:rPr>
                            <w:rFonts w:ascii="Arial" w:eastAsia="Times New Roman" w:hAnsi="Arial" w:cs="Arial"/>
                            <w:color w:val="000000"/>
                            <w:lang w:eastAsia="en-IN"/>
                          </w:rPr>
                          <w:t>certificates.Only</w:t>
                        </w:r>
                        <w:proofErr w:type="spellEnd"/>
                        <w:proofErr w:type="gramEnd"/>
                        <w:r w:rsidRPr="00C8583C">
                          <w:rPr>
                            <w:rFonts w:ascii="Arial" w:eastAsia="Times New Roman" w:hAnsi="Arial" w:cs="Arial"/>
                            <w:color w:val="000000"/>
                            <w:lang w:eastAsia="en-IN"/>
                          </w:rPr>
                          <w:t xml:space="preserve"> the principal officer (PO) of acquiring bank shall be allowed to retain the PO certificate and the certificates granted to principal officers of acquired </w:t>
                        </w:r>
                        <w:proofErr w:type="spellStart"/>
                        <w:r w:rsidRPr="00C8583C">
                          <w:rPr>
                            <w:rFonts w:ascii="Arial" w:eastAsia="Times New Roman" w:hAnsi="Arial" w:cs="Arial"/>
                            <w:color w:val="000000"/>
                            <w:lang w:eastAsia="en-IN"/>
                          </w:rPr>
                          <w:t>banksshall</w:t>
                        </w:r>
                        <w:proofErr w:type="spellEnd"/>
                        <w:r w:rsidRPr="00C8583C">
                          <w:rPr>
                            <w:rFonts w:ascii="Arial" w:eastAsia="Times New Roman" w:hAnsi="Arial" w:cs="Arial"/>
                            <w:color w:val="000000"/>
                            <w:lang w:eastAsia="en-IN"/>
                          </w:rPr>
                          <w:t xml:space="preserve"> be automatically cancelled.</w:t>
                        </w:r>
                      </w:p>
                      <w:p w14:paraId="6C615983"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6DB3D7C5" w14:textId="77777777" w:rsidR="00C8583C" w:rsidRPr="00C8583C" w:rsidRDefault="00C8583C" w:rsidP="00C8583C">
                        <w:pPr>
                          <w:spacing w:after="0" w:line="360" w:lineRule="atLeast"/>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5.</w:t>
                        </w:r>
                        <w:r w:rsidRPr="00C8583C">
                          <w:rPr>
                            <w:rFonts w:ascii="Arial" w:eastAsia="Times New Roman" w:hAnsi="Arial" w:cs="Arial"/>
                            <w:color w:val="000000"/>
                            <w:u w:val="single"/>
                            <w:lang w:eastAsia="en-IN"/>
                          </w:rPr>
                          <w:t>Renewal commission applicable to acquiring banks</w:t>
                        </w:r>
                      </w:p>
                      <w:p w14:paraId="27699109"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xml:space="preserve">The acquiring banks may receive renewal commissions under the life insurance arrangements of acquired </w:t>
                        </w:r>
                        <w:proofErr w:type="spellStart"/>
                        <w:r w:rsidRPr="00C8583C">
                          <w:rPr>
                            <w:rFonts w:ascii="Arial" w:eastAsia="Times New Roman" w:hAnsi="Arial" w:cs="Arial"/>
                            <w:color w:val="000000"/>
                            <w:lang w:eastAsia="en-IN"/>
                          </w:rPr>
                          <w:t>banksonly</w:t>
                        </w:r>
                        <w:proofErr w:type="spellEnd"/>
                        <w:r w:rsidRPr="00C8583C">
                          <w:rPr>
                            <w:rFonts w:ascii="Arial" w:eastAsia="Times New Roman" w:hAnsi="Arial" w:cs="Arial"/>
                            <w:color w:val="000000"/>
                            <w:lang w:eastAsia="en-IN"/>
                          </w:rPr>
                          <w:t xml:space="preserve"> after entering suitable arrangements for servicing of the policyholders.</w:t>
                        </w:r>
                      </w:p>
                      <w:p w14:paraId="17EDD279" w14:textId="77777777" w:rsidR="00C8583C" w:rsidRPr="00C8583C" w:rsidRDefault="00C8583C" w:rsidP="00C8583C">
                        <w:pPr>
                          <w:spacing w:after="0" w:line="360" w:lineRule="atLeast"/>
                          <w:ind w:left="270"/>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 </w:t>
                        </w:r>
                      </w:p>
                      <w:p w14:paraId="19B03B62" w14:textId="77777777" w:rsidR="00C8583C" w:rsidRPr="00C8583C" w:rsidRDefault="00C8583C" w:rsidP="00C8583C">
                        <w:pPr>
                          <w:spacing w:after="0" w:line="360" w:lineRule="atLeast"/>
                          <w:jc w:val="both"/>
                          <w:rPr>
                            <w:rFonts w:ascii="Calibri" w:eastAsia="Times New Roman" w:hAnsi="Calibri" w:cs="Calibri"/>
                            <w:color w:val="000000"/>
                            <w:sz w:val="24"/>
                            <w:szCs w:val="24"/>
                            <w:lang w:eastAsia="en-IN"/>
                          </w:rPr>
                        </w:pPr>
                        <w:r w:rsidRPr="00C8583C">
                          <w:rPr>
                            <w:rFonts w:ascii="Arial" w:eastAsia="Times New Roman" w:hAnsi="Arial" w:cs="Arial"/>
                            <w:color w:val="000000"/>
                            <w:lang w:eastAsia="en-IN"/>
                          </w:rPr>
                          <w:t>6. These instructions are issued under the provisions of Sec. 34 (1) of the Insurance Act, 1938read with Reg. 32 of IRDAI (Registration of Corporate Agents) Regulations, 2015.</w:t>
                        </w:r>
                      </w:p>
                      <w:p w14:paraId="18E2E6C3" w14:textId="77777777" w:rsidR="00C8583C" w:rsidRPr="00C8583C" w:rsidRDefault="00C8583C" w:rsidP="00C8583C">
                        <w:pPr>
                          <w:spacing w:after="0" w:line="330" w:lineRule="atLeast"/>
                          <w:ind w:left="270" w:right="450"/>
                          <w:rPr>
                            <w:rFonts w:ascii="Calibri" w:eastAsia="Times New Roman" w:hAnsi="Calibri" w:cs="Calibri"/>
                            <w:color w:val="000000"/>
                            <w:lang w:eastAsia="en-IN"/>
                          </w:rPr>
                        </w:pPr>
                        <w:r w:rsidRPr="00C8583C">
                          <w:rPr>
                            <w:rFonts w:ascii="Arial" w:eastAsia="Times New Roman" w:hAnsi="Arial" w:cs="Arial"/>
                            <w:color w:val="000000"/>
                            <w:lang w:eastAsia="en-IN"/>
                          </w:rPr>
                          <w:t> </w:t>
                        </w:r>
                      </w:p>
                      <w:p w14:paraId="53BB773E" w14:textId="77777777" w:rsidR="00C8583C" w:rsidRPr="00C8583C" w:rsidRDefault="00C8583C" w:rsidP="00C8583C">
                        <w:pPr>
                          <w:spacing w:after="0" w:line="330" w:lineRule="atLeast"/>
                          <w:ind w:left="270" w:right="450"/>
                          <w:rPr>
                            <w:rFonts w:ascii="Calibri" w:eastAsia="Times New Roman" w:hAnsi="Calibri" w:cs="Calibri"/>
                            <w:color w:val="000000"/>
                            <w:lang w:eastAsia="en-IN"/>
                          </w:rPr>
                        </w:pPr>
                        <w:r w:rsidRPr="00C8583C">
                          <w:rPr>
                            <w:rFonts w:ascii="Arial" w:eastAsia="Times New Roman" w:hAnsi="Arial" w:cs="Arial"/>
                            <w:color w:val="000000"/>
                            <w:lang w:eastAsia="en-IN"/>
                          </w:rPr>
                          <w:t> </w:t>
                        </w:r>
                      </w:p>
                      <w:p w14:paraId="59DA6C66" w14:textId="77777777" w:rsidR="00C8583C" w:rsidRPr="00C8583C" w:rsidRDefault="00C8583C" w:rsidP="00C8583C">
                        <w:pPr>
                          <w:spacing w:after="0" w:line="330" w:lineRule="atLeast"/>
                          <w:ind w:left="270" w:right="450"/>
                          <w:rPr>
                            <w:rFonts w:ascii="Calibri" w:eastAsia="Times New Roman" w:hAnsi="Calibri" w:cs="Calibri"/>
                            <w:color w:val="000000"/>
                            <w:lang w:eastAsia="en-IN"/>
                          </w:rPr>
                        </w:pPr>
                        <w:r w:rsidRPr="00C8583C">
                          <w:rPr>
                            <w:rFonts w:ascii="Arial" w:eastAsia="Times New Roman" w:hAnsi="Arial" w:cs="Arial"/>
                            <w:color w:val="000000"/>
                            <w:lang w:eastAsia="en-IN"/>
                          </w:rPr>
                          <w:t> </w:t>
                        </w:r>
                      </w:p>
                      <w:p w14:paraId="2B7D6DF5" w14:textId="77777777" w:rsidR="00C8583C" w:rsidRPr="00C8583C" w:rsidRDefault="00C8583C" w:rsidP="00C8583C">
                        <w:pPr>
                          <w:spacing w:after="0" w:line="330" w:lineRule="atLeast"/>
                          <w:ind w:right="450"/>
                          <w:rPr>
                            <w:rFonts w:ascii="Calibri" w:eastAsia="Times New Roman" w:hAnsi="Calibri" w:cs="Calibri"/>
                            <w:color w:val="000000"/>
                            <w:lang w:eastAsia="en-IN"/>
                          </w:rPr>
                        </w:pPr>
                        <w:r w:rsidRPr="00C8583C">
                          <w:rPr>
                            <w:rFonts w:ascii="Arial" w:eastAsia="Times New Roman" w:hAnsi="Arial" w:cs="Arial"/>
                            <w:b/>
                            <w:bCs/>
                            <w:color w:val="000000"/>
                            <w:lang w:eastAsia="en-IN"/>
                          </w:rPr>
                          <w:t>(K. Ganesh)</w:t>
                        </w:r>
                      </w:p>
                      <w:p w14:paraId="05F00EDF" w14:textId="77777777" w:rsidR="00C8583C" w:rsidRPr="00C8583C" w:rsidRDefault="00C8583C" w:rsidP="00C8583C">
                        <w:pPr>
                          <w:spacing w:after="0" w:line="330" w:lineRule="atLeast"/>
                          <w:ind w:right="450"/>
                          <w:rPr>
                            <w:rFonts w:ascii="Calibri" w:eastAsia="Times New Roman" w:hAnsi="Calibri" w:cs="Calibri"/>
                            <w:color w:val="000000"/>
                            <w:lang w:eastAsia="en-IN"/>
                          </w:rPr>
                        </w:pPr>
                        <w:r w:rsidRPr="00C8583C">
                          <w:rPr>
                            <w:rFonts w:ascii="Arial" w:eastAsia="Times New Roman" w:hAnsi="Arial" w:cs="Arial"/>
                            <w:b/>
                            <w:bCs/>
                            <w:color w:val="000000"/>
                            <w:lang w:eastAsia="en-IN"/>
                          </w:rPr>
                          <w:t>Member (Life)</w:t>
                        </w:r>
                      </w:p>
                      <w:p w14:paraId="657743B2" w14:textId="77777777" w:rsidR="00C8583C" w:rsidRPr="00C8583C" w:rsidRDefault="00C8583C" w:rsidP="00C8583C">
                        <w:pPr>
                          <w:spacing w:after="0" w:line="240" w:lineRule="auto"/>
                          <w:ind w:left="720"/>
                          <w:rPr>
                            <w:rFonts w:ascii="Calibri" w:eastAsia="Times New Roman" w:hAnsi="Calibri" w:cs="Calibri"/>
                            <w:color w:val="000000"/>
                            <w:sz w:val="24"/>
                            <w:szCs w:val="24"/>
                            <w:lang w:eastAsia="en-IN"/>
                          </w:rPr>
                        </w:pPr>
                        <w:r w:rsidRPr="00C8583C">
                          <w:rPr>
                            <w:rFonts w:ascii="Arial" w:eastAsia="Times New Roman" w:hAnsi="Arial" w:cs="Arial"/>
                            <w:color w:val="000000"/>
                            <w:lang w:val="en-US" w:eastAsia="en-IN"/>
                          </w:rPr>
                          <w:t> </w:t>
                        </w:r>
                      </w:p>
                      <w:p w14:paraId="2B6CF6D5" w14:textId="77777777" w:rsidR="00C8583C" w:rsidRPr="00C8583C" w:rsidRDefault="00C8583C" w:rsidP="00C8583C">
                        <w:pPr>
                          <w:spacing w:after="0" w:line="240" w:lineRule="auto"/>
                          <w:rPr>
                            <w:rFonts w:ascii="Calibri" w:eastAsia="Times New Roman" w:hAnsi="Calibri" w:cs="Calibri"/>
                            <w:color w:val="000000"/>
                            <w:sz w:val="24"/>
                            <w:szCs w:val="24"/>
                            <w:lang w:eastAsia="en-IN"/>
                          </w:rPr>
                        </w:pPr>
                        <w:r w:rsidRPr="00C8583C">
                          <w:rPr>
                            <w:rFonts w:ascii="Calibri" w:eastAsia="Times New Roman" w:hAnsi="Calibri" w:cs="Calibri"/>
                            <w:color w:val="000000"/>
                            <w:sz w:val="24"/>
                            <w:szCs w:val="24"/>
                            <w:lang w:eastAsia="en-IN"/>
                          </w:rPr>
                          <w:t> </w:t>
                        </w:r>
                      </w:p>
                      <w:p w14:paraId="0E4603D4" w14:textId="77777777" w:rsidR="00C8583C" w:rsidRPr="00C8583C" w:rsidRDefault="00C8583C" w:rsidP="00C8583C">
                        <w:pPr>
                          <w:spacing w:after="0" w:line="240" w:lineRule="auto"/>
                          <w:rPr>
                            <w:rFonts w:ascii="Calibri" w:eastAsia="Times New Roman" w:hAnsi="Calibri" w:cs="Calibri"/>
                            <w:color w:val="000000"/>
                            <w:sz w:val="24"/>
                            <w:szCs w:val="24"/>
                            <w:lang w:eastAsia="en-IN"/>
                          </w:rPr>
                        </w:pPr>
                        <w:r w:rsidRPr="00C8583C">
                          <w:rPr>
                            <w:rFonts w:ascii="Calibri" w:eastAsia="Times New Roman" w:hAnsi="Calibri" w:cs="Calibri"/>
                            <w:color w:val="000000"/>
                            <w:sz w:val="24"/>
                            <w:szCs w:val="24"/>
                            <w:lang w:eastAsia="en-IN"/>
                          </w:rPr>
                          <w:t> </w:t>
                        </w:r>
                      </w:p>
                    </w:tc>
                  </w:tr>
                  <w:tr w:rsidR="00C8583C" w:rsidRPr="00C8583C" w14:paraId="2A5066BD" w14:textId="77777777">
                    <w:trPr>
                      <w:trHeight w:val="60"/>
                      <w:tblCellSpacing w:w="0" w:type="dxa"/>
                    </w:trPr>
                    <w:tc>
                      <w:tcPr>
                        <w:tcW w:w="0" w:type="auto"/>
                        <w:shd w:val="clear" w:color="auto" w:fill="F2F2F2"/>
                        <w:vAlign w:val="center"/>
                        <w:hideMark/>
                      </w:tcPr>
                      <w:p w14:paraId="346F3BA8" w14:textId="77777777" w:rsidR="00C8583C" w:rsidRPr="00C8583C" w:rsidRDefault="00C8583C" w:rsidP="00C8583C">
                        <w:pPr>
                          <w:spacing w:after="0" w:line="240" w:lineRule="auto"/>
                          <w:rPr>
                            <w:rFonts w:ascii="Calibri" w:eastAsia="Times New Roman" w:hAnsi="Calibri" w:cs="Calibri"/>
                            <w:color w:val="000000"/>
                            <w:sz w:val="24"/>
                            <w:szCs w:val="24"/>
                            <w:lang w:eastAsia="en-IN"/>
                          </w:rPr>
                        </w:pPr>
                      </w:p>
                    </w:tc>
                  </w:tr>
                </w:tbl>
                <w:p w14:paraId="698217CE" w14:textId="77777777" w:rsidR="00C8583C" w:rsidRPr="00C8583C" w:rsidRDefault="00C8583C" w:rsidP="00C8583C">
                  <w:pPr>
                    <w:spacing w:after="0" w:line="240" w:lineRule="auto"/>
                    <w:rPr>
                      <w:rFonts w:ascii="Times New Roman" w:eastAsia="Times New Roman" w:hAnsi="Times New Roman" w:cs="Times New Roman"/>
                      <w:color w:val="000000"/>
                      <w:sz w:val="18"/>
                      <w:szCs w:val="18"/>
                      <w:lang w:eastAsia="en-IN"/>
                    </w:rPr>
                  </w:pPr>
                </w:p>
              </w:tc>
            </w:tr>
            <w:tr w:rsidR="00C8583C" w:rsidRPr="00C8583C" w14:paraId="63E752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066B7800" w14:textId="77777777" w:rsidR="00C8583C" w:rsidRPr="00C8583C" w:rsidRDefault="00C8583C" w:rsidP="00C8583C">
                  <w:pPr>
                    <w:spacing w:after="0" w:line="240" w:lineRule="auto"/>
                    <w:jc w:val="center"/>
                    <w:rPr>
                      <w:rFonts w:ascii="Times New Roman" w:eastAsia="Times New Roman" w:hAnsi="Times New Roman" w:cs="Times New Roman"/>
                      <w:color w:val="000000"/>
                      <w:sz w:val="18"/>
                      <w:szCs w:val="18"/>
                      <w:lang w:eastAsia="en-IN"/>
                    </w:rPr>
                  </w:pPr>
                  <w:r w:rsidRPr="00C8583C">
                    <w:rPr>
                      <w:rFonts w:ascii="Times New Roman" w:eastAsia="Times New Roman" w:hAnsi="Times New Roman" w:cs="Times New Roman"/>
                      <w:color w:val="000000"/>
                      <w:sz w:val="18"/>
                      <w:szCs w:val="18"/>
                      <w:lang w:eastAsia="en-IN"/>
                    </w:rPr>
                    <w:lastRenderedPageBreak/>
                    <w:t>Insurance Regulatory and Development Authority of India. All Right Reserved.</w:t>
                  </w:r>
                </w:p>
              </w:tc>
            </w:tr>
            <w:tr w:rsidR="00C8583C" w:rsidRPr="00C8583C" w14:paraId="7FEF1B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4A0D5A" w14:textId="77777777" w:rsidR="00C8583C" w:rsidRPr="00C8583C" w:rsidRDefault="00C8583C" w:rsidP="00C8583C">
                  <w:pPr>
                    <w:spacing w:after="0" w:line="240" w:lineRule="auto"/>
                    <w:jc w:val="center"/>
                    <w:rPr>
                      <w:rFonts w:ascii="Times New Roman" w:eastAsia="Times New Roman" w:hAnsi="Times New Roman" w:cs="Times New Roman"/>
                      <w:color w:val="000000"/>
                      <w:sz w:val="18"/>
                      <w:szCs w:val="18"/>
                      <w:lang w:eastAsia="en-IN"/>
                    </w:rPr>
                  </w:pPr>
                </w:p>
              </w:tc>
            </w:tr>
          </w:tbl>
          <w:p w14:paraId="130B373C" w14:textId="77777777" w:rsidR="00C8583C" w:rsidRPr="00C8583C" w:rsidRDefault="00C8583C" w:rsidP="00C8583C">
            <w:pPr>
              <w:spacing w:after="0" w:line="240" w:lineRule="auto"/>
              <w:rPr>
                <w:rFonts w:ascii="Arial" w:eastAsia="Times New Roman" w:hAnsi="Arial" w:cs="Arial"/>
                <w:sz w:val="24"/>
                <w:szCs w:val="24"/>
                <w:lang w:eastAsia="en-IN"/>
              </w:rPr>
            </w:pPr>
          </w:p>
        </w:tc>
      </w:tr>
      <w:tr w:rsidR="00C8583C" w:rsidRPr="00C8583C" w14:paraId="0B8784A4" w14:textId="77777777" w:rsidTr="00C8583C">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8583C" w:rsidRPr="00C8583C" w14:paraId="6AF6E8D7" w14:textId="77777777">
              <w:trPr>
                <w:trHeight w:val="120"/>
                <w:tblCellSpacing w:w="0" w:type="dxa"/>
                <w:jc w:val="center"/>
              </w:trPr>
              <w:tc>
                <w:tcPr>
                  <w:tcW w:w="0" w:type="auto"/>
                  <w:vAlign w:val="center"/>
                  <w:hideMark/>
                </w:tcPr>
                <w:p w14:paraId="70CFB245" w14:textId="77777777" w:rsidR="00C8583C" w:rsidRPr="00C8583C" w:rsidRDefault="00C8583C" w:rsidP="00C8583C">
                  <w:pPr>
                    <w:spacing w:after="0" w:line="240" w:lineRule="auto"/>
                    <w:rPr>
                      <w:rFonts w:ascii="Times New Roman" w:eastAsia="Times New Roman" w:hAnsi="Times New Roman" w:cs="Times New Roman"/>
                      <w:sz w:val="20"/>
                      <w:szCs w:val="20"/>
                      <w:lang w:eastAsia="en-IN"/>
                    </w:rPr>
                  </w:pPr>
                </w:p>
              </w:tc>
            </w:tr>
          </w:tbl>
          <w:p w14:paraId="1D4F6FFA" w14:textId="77777777" w:rsidR="00C8583C" w:rsidRPr="00C8583C" w:rsidRDefault="00C8583C" w:rsidP="00C8583C">
            <w:pPr>
              <w:spacing w:after="0" w:line="240" w:lineRule="auto"/>
              <w:jc w:val="center"/>
              <w:rPr>
                <w:rFonts w:ascii="Arial" w:eastAsia="Times New Roman" w:hAnsi="Arial" w:cs="Arial"/>
                <w:sz w:val="24"/>
                <w:szCs w:val="24"/>
                <w:lang w:eastAsia="en-IN"/>
              </w:rPr>
            </w:pPr>
          </w:p>
        </w:tc>
      </w:tr>
    </w:tbl>
    <w:p w14:paraId="55D8AAAB" w14:textId="77777777" w:rsidR="00C8583C" w:rsidRDefault="00C8583C"/>
    <w:sectPr w:rsidR="00C8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2E"/>
    <w:rsid w:val="0008672E"/>
    <w:rsid w:val="00564E47"/>
    <w:rsid w:val="00A84DE4"/>
    <w:rsid w:val="00C8583C"/>
    <w:rsid w:val="00CF1EB8"/>
    <w:rsid w:val="00DF0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0AE"/>
  <w15:chartTrackingRefBased/>
  <w15:docId w15:val="{8483BFA6-B51E-4D86-9D62-D033FE2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4DE4"/>
    <w:rPr>
      <w:b/>
      <w:bCs/>
    </w:rPr>
  </w:style>
  <w:style w:type="paragraph" w:styleId="ListParagraph">
    <w:name w:val="List Paragraph"/>
    <w:basedOn w:val="Normal"/>
    <w:uiPriority w:val="34"/>
    <w:qFormat/>
    <w:rsid w:val="00A84DE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basedOn w:val="Normal"/>
    <w:uiPriority w:val="1"/>
    <w:qFormat/>
    <w:rsid w:val="00A84D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8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53713">
      <w:bodyDiv w:val="1"/>
      <w:marLeft w:val="0"/>
      <w:marRight w:val="0"/>
      <w:marTop w:val="0"/>
      <w:marBottom w:val="0"/>
      <w:divBdr>
        <w:top w:val="none" w:sz="0" w:space="0" w:color="auto"/>
        <w:left w:val="none" w:sz="0" w:space="0" w:color="auto"/>
        <w:bottom w:val="none" w:sz="0" w:space="0" w:color="auto"/>
        <w:right w:val="none" w:sz="0" w:space="0" w:color="auto"/>
      </w:divBdr>
    </w:div>
    <w:div w:id="779493021">
      <w:bodyDiv w:val="1"/>
      <w:marLeft w:val="0"/>
      <w:marRight w:val="0"/>
      <w:marTop w:val="0"/>
      <w:marBottom w:val="0"/>
      <w:divBdr>
        <w:top w:val="none" w:sz="0" w:space="0" w:color="auto"/>
        <w:left w:val="none" w:sz="0" w:space="0" w:color="auto"/>
        <w:bottom w:val="none" w:sz="0" w:space="0" w:color="auto"/>
        <w:right w:val="none" w:sz="0" w:space="0" w:color="auto"/>
      </w:divBdr>
    </w:div>
    <w:div w:id="1168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__doPostBack('LbtPri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TRIBHUVAN</dc:creator>
  <cp:keywords/>
  <dc:description/>
  <cp:lastModifiedBy>TRIBHUVAN</cp:lastModifiedBy>
  <cp:revision>5</cp:revision>
  <dcterms:created xsi:type="dcterms:W3CDTF">2020-05-27T03:36:00Z</dcterms:created>
  <dcterms:modified xsi:type="dcterms:W3CDTF">2020-05-27T04:00:00Z</dcterms:modified>
</cp:coreProperties>
</file>